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9782b036f55542f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26387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KLINIČKA BOLNICA MERKUR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133.672.613,38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132.181.320,28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96.242.854,75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114.276.811,43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37.429.758,63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17.904.508,85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49.225.512,83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10.173.502,44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49.223.344,36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10.172.125,44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7.732.383,41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VIŠAK PRIHODA</w:t>
      </w:r>
    </w:p>
    <w:p>
      <w:r>
        <w:t xml:space="preserve">Ostvarili smo višak prihoda poslovanja, kao i ukupni višak prihoda, uslijed prihoda dobivenih za sanaciju za podmirenje obveza za dobavljače lijekova i potrošnog medicinskog materijala. I priznatog prihoda prilikom plaćanja obveza za građevinske radove i nabavu medicinske opreme, vezano uz obnovu od potresa čiji rashodi su evidentirani u prošloj godini. Većeg izvršenja rada što je omogućio dodatni prihod od HZZO-a i drugih osiguravajućih kuća.Manjak prihoda od nefinancijske imovine je nastao uslijed metodološkog priznavanja prihoda u kojem se prihod za pokrivanje rashoda za nefinancijsku imovinu priznaje na kontima razreda 6.</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964.233,45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2.188.598,79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227,0</w:t>
            </w:r>
          </w:p>
        </w:tc>
      </w:tr>
    </w:tbl>
    <w:p>
      <w:pPr>
        <w:spacing w:before="0" w:after="0"/>
      </w:pPr>
    </w:p>
    <w:p>
      <w:r>
        <w:t xml:space="preserve">U odnosu na prošlu godinu prihodi su znatno veći, uplaćen je dio sredstava od Europske komisije, za projekt Digitalna Europa gdje sudjelujemo kao partneri zajedno s Ministarstvom zdravstva, HZZO-om i Klinikom za infektivne bolesti „Dr.F.Mihaljević“ , kojeg u prošloj godini nije bilo. Osim toga, ostvaren je dodatni prihod od HZZO-a za podmirenje obveza prema dobavljačima lijekova i potrošnog medicinskog materijala te je veći za duplo u odnosu na prošlu godinu.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7.606.751,29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8.391.296,40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w:t>
            </w:r>
          </w:p>
        </w:tc>
      </w:tr>
    </w:tbl>
    <w:p>
      <w:pPr>
        <w:spacing w:before="0" w:after="0"/>
      </w:pPr>
    </w:p>
    <w:p>
      <w:r>
        <w:t xml:space="preserve">Prihodi su nešto povećani za isto razdoblje prošle godine, a odnose se na 6526 – ostale nespomenute prihode, a to su prihodi od participacije i dopunskog zdravstvenog osiguranja. Za dopunsko osiguranje preko HZZO-o, naplaćeno je u odnosu na prošlu godinu za 7,57% više zbog više obračunatih računa, kao i za prihod od participacija koji je porastao za 29,86%.</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2.084.969,78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2.011.336,95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w:t>
            </w:r>
          </w:p>
        </w:tc>
      </w:tr>
    </w:tbl>
    <w:p>
      <w:pPr>
        <w:spacing w:before="0" w:after="0"/>
      </w:pPr>
    </w:p>
    <w:p>
      <w:r>
        <w:t xml:space="preserve">Na razini skupine, ostvareni su manji prihodi nego 2024. godine, no na razini odjeljka stanje je sljedeće:</w:t>
      </w:r>
    </w:p>
    <w:p>
      <w:r>
        <w:t xml:space="preserve">6615 – Prihodi od pruženih usluga su 9,2% veći, a odnose se na prihode od privatnika za zdravstvene usluge („plaća sam“), prihode od izvršenih usluga za druge zdravstvene ustanove i prihode od nemedicinskih usluga. </w:t>
      </w:r>
    </w:p>
    <w:p>
      <w:r>
        <w:t xml:space="preserve">6631 – Tekuće donacije su u ovoj godini ostvareni 4 puta manje u odnosu na 2024. godinu zbog manje primljenih donacija od ostalih subjekata izvan opće države, dok smo za kapitalne donacije zaprimili prihode za 171,9% više te tim prihodom nabavili opremu za anesteziju.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3.100.955,86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8.813.751,68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284,2</w:t>
            </w:r>
          </w:p>
        </w:tc>
      </w:tr>
    </w:tbl>
    <w:p>
      <w:pPr>
        <w:spacing w:before="0" w:after="0"/>
      </w:pPr>
    </w:p>
    <w:p>
      <w:r>
        <w:t xml:space="preserve">Ovi prihodi ostvareni su od sanacije, odnosno isplate dodatnih sredstava za podmirenje obveza dobavljača za lijekove i potrošni medicinski materijal te sredstva za podmirenje obveza za premije osiguranja.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45.224.101,22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12.825.274,47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w:t>
            </w:r>
          </w:p>
        </w:tc>
      </w:tr>
    </w:tbl>
    <w:p>
      <w:pPr>
        <w:spacing w:before="0" w:after="0"/>
      </w:pPr>
    </w:p>
    <w:p>
      <w:r>
        <w:t xml:space="preserve">Iz tih prihoda financirani su troškovi za nabavu medicinske i laboratorijske opreme, namještaja, ostale opreme te financiranje izgradnje mrtvačnice i građevinski radovi na zelenoj zgradi. U odnosu na prošlu godinu ostvareni su u manjem obimu jer je prošle godine iz tih prihoda financirana obnova od potresa za koju je bilo potrebno više financijskih sredstava koji su financirani iz izvora financiranja 815.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74.444.805,03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97.698.757,60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Prihodi su veći od prošlogodišnjih. Prihodi po osnovi ugovorenog limita za 2025. godinu veći su, u odnosu na 2024., za 30,09%. Prihodi za usluge izvan limita veći su za 17,89% (transplantacije, eksplantacije, posebno skupi lijekovi, intervencijska kardiologija, kateteri za kompleksne aritmije, medicinski potpomognuta oplodnja i dr.) zbog boljeg poslovanja odnosno fakturiranja pruženih zdravstvenih usluga.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149.573,67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155.081,39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w:t>
            </w:r>
          </w:p>
        </w:tc>
      </w:tr>
    </w:tbl>
    <w:p>
      <w:pPr>
        <w:spacing w:before="0" w:after="0"/>
      </w:pPr>
    </w:p>
    <w:p>
      <w:r>
        <w:t xml:space="preserve">Ostali prihodi odnose se na prihode od VPN mobitela, Multisport-a, Benefit-a, naknade za prekid specijalizacije, financijska odobrenja po računima, naplaćenih kamata po ovrhama i troškova parničnih postupaka te su ostvareni nešto malo više nego 2024. godine.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43.354.114,34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49.562.690,17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114,3</w:t>
            </w:r>
          </w:p>
        </w:tc>
      </w:tr>
    </w:tbl>
    <w:p>
      <w:pPr>
        <w:spacing w:before="0" w:after="0"/>
      </w:pPr>
    </w:p>
    <w:p>
      <w:r>
        <w:t xml:space="preserve">U skladu s Kolektivnim ugovorom za javne službenike i namještenike, dva puta je tijekom 2025. godine povećana bruto plaća odnosno vrijednost koeficijenta određenog prema Uredbi o koeficijentima te je ostvareno više rashoda u ovoj godini.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1.198.812,19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1.318.159,20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bl>
    <w:p>
      <w:pPr>
        <w:spacing w:before="0" w:after="0"/>
      </w:pPr>
    </w:p>
    <w:p>
      <w:r>
        <w:t xml:space="preserve">Najviše su porasli rashodi za isplate prigodnih nagrada (regresa, uskrsnica, božićnica) djelatnicima zbog većeg broja zaposlenih.</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74.145,95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90.801,88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bl>
    <w:p>
      <w:pPr>
        <w:spacing w:before="0" w:after="0"/>
      </w:pPr>
    </w:p>
    <w:p>
      <w:r>
        <w:t xml:space="preserve">Rashodi za službena putovanja bilježe najveći porast kontu rashodi za smještaj na službenom putu u inozemstvo koji su za 146,93 % veći zbog većeg broja seminara i kongresa.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101.120,14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172.717,43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170,8</w:t>
            </w:r>
          </w:p>
        </w:tc>
      </w:tr>
    </w:tbl>
    <w:p>
      <w:pPr>
        <w:spacing w:before="0" w:after="0"/>
      </w:pPr>
    </w:p>
    <w:p>
      <w:r>
        <w:t xml:space="preserve">Odnose se na rashode za seminare (kotizacije) koji su veći za 7,29%, zatim na rashode za tečajeve i stručne ispite koji su 71,94% manji i rashode za specijalizacije, 124,40% veći zbog većeg broja  primljenih specijalizanata tijekom 2025. godine, odnosno financiranja školovanja za njihov postdiplomski studij.</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651.583,65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757.278,10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116,2</w:t>
            </w:r>
          </w:p>
        </w:tc>
      </w:tr>
    </w:tbl>
    <w:p>
      <w:pPr>
        <w:spacing w:before="0" w:after="0"/>
      </w:pPr>
    </w:p>
    <w:p>
      <w:r>
        <w:t xml:space="preserve">Uredski materijal i ostali materijalni rashodi povećani su u odnosu na prošlu godinu, a najviše je povećan rashod za materijal i sredstva za čišćenje i održavanje 45,57% zbog veće potrošnje istog jer u 2025. godini cijeli prostor Ustanove bio u funkciji dok u 2024. su još trajali radovi zbog obnove od potresa.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35.248.381,21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458.989,43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w:t>
            </w:r>
          </w:p>
        </w:tc>
      </w:tr>
    </w:tbl>
    <w:p>
      <w:pPr>
        <w:spacing w:before="0" w:after="0"/>
      </w:pPr>
    </w:p>
    <w:p>
      <w:r>
        <w:t xml:space="preserve">Od 2025. godine prema novom Pravilniku o proračunskom računovodstvu i računskom planu, rashodi za lijekove i potrošni medicinski materijal, evidentiraju se na novoj skupini 325 te usporedivost s prošlom godinom na ovoj skupini nije moguća. Osim za dio 3222 koji se odnosi na trošak namirnica koje su u odnosu na prošlu godinu porasli za 56,18% zbog povrata djelatnika kuhinje odnosno nakon obnove kuhinje uslijed obnove od potresa, rad se vratio u normalne okvire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155.882,59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212.841,47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w:t>
            </w:r>
          </w:p>
        </w:tc>
      </w:tr>
    </w:tbl>
    <w:p>
      <w:pPr>
        <w:spacing w:before="0" w:after="0"/>
      </w:pPr>
    </w:p>
    <w:p>
      <w:r>
        <w:t xml:space="preserve">Materijal i dijelovi za tekuće i investicijsko održavanje je povećan uslijed većih kvarova i zamjene rezervnih dijelova.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1.774.828,37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2.313.268,82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130,3</w:t>
            </w:r>
          </w:p>
        </w:tc>
      </w:tr>
    </w:tbl>
    <w:p>
      <w:pPr>
        <w:spacing w:before="0" w:after="0"/>
      </w:pPr>
    </w:p>
    <w:p>
      <w:r>
        <w:t xml:space="preserve">Usluge tekućeg i investicijskog održavanja porasle su radi povećanih ugovora za mjesečno održavanje zbog novo nabavljenje opreme tijekom 2024. i 2025.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625.710,07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997.957,84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w:t>
            </w:r>
          </w:p>
        </w:tc>
      </w:tr>
    </w:tbl>
    <w:p>
      <w:pPr>
        <w:spacing w:before="0" w:after="0"/>
      </w:pPr>
    </w:p>
    <w:p>
      <w:r>
        <w:t xml:space="preserve">Rashodi za komunalne usluge su veći zbog povrata svih odjela u ustanovu nakon obnove i namještanja te se samim time povećala i ova vrsta usluga te zbog povećanja cijena.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803.037,22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967.033,39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bl>
    <w:p>
      <w:pPr>
        <w:spacing w:before="0" w:after="0"/>
      </w:pPr>
    </w:p>
    <w:p>
      <w:r>
        <w:t xml:space="preserve">Rashodi za zakupnine i najamnine  veći su zbog povećanja korištenja najma setova za instrumente i opremu te najma bolničkog rublja.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1.720.655,11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2.379.727,43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w:t>
            </w:r>
          </w:p>
        </w:tc>
      </w:tr>
    </w:tbl>
    <w:p>
      <w:pPr>
        <w:spacing w:before="0" w:after="0"/>
      </w:pPr>
    </w:p>
    <w:p>
      <w:r>
        <w:t xml:space="preserve">Rashodi bilježe povećanje većinom zbog povećanja traženja mikrobioloških pretraga i drugih pretraga od suradnih ustanova za ležeće pacijente.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263.308,09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336.600,63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w:t>
            </w:r>
          </w:p>
        </w:tc>
      </w:tr>
    </w:tbl>
    <w:p>
      <w:pPr>
        <w:spacing w:before="0" w:after="0"/>
      </w:pPr>
    </w:p>
    <w:p>
      <w:r>
        <w:t xml:space="preserve">Zbog građevinskih radova koji su se odvijali kroz 2025. godinu, bio je potreban i nadzor te izrade projekata za radove i energetsku obnovu, te je više potrošeno na ovoj vrsti rashoda, osim toga povećan je i rashod za iznajmljivanje rada studenata.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334.349,89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414.199,00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w:t>
            </w:r>
          </w:p>
        </w:tc>
      </w:tr>
    </w:tbl>
    <w:p>
      <w:pPr>
        <w:spacing w:before="0" w:after="0"/>
      </w:pPr>
    </w:p>
    <w:p>
      <w:r>
        <w:t xml:space="preserve">Rashodi  za ostale usluge su veće u odnosu na 2024. godinu, povećale su se potrebe za korištenjem usluga pranja jer tijekom cijele 2025. godine nije bila obnovljena praonica. Isto tako povećane su usluge za objavljivanje natječaja vezano uz javnu nabavu.</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279.820,19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537.565,19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192,1</w:t>
            </w:r>
          </w:p>
        </w:tc>
      </w:tr>
    </w:tbl>
    <w:p>
      <w:pPr>
        <w:spacing w:before="0" w:after="0"/>
      </w:pPr>
    </w:p>
    <w:p>
      <w:r>
        <w:t xml:space="preserve">Premije osiguranja su 2 puta veće, radi se o premiji osiguranja imovine, zaposlenih i osiguranja od rizika čiji ugovor je sklopljen u drugoj polovici 2024. godne, te je nanovo sklopljen i u 2025. godini te su troškovi po tom ugovoru plaćani kroz cijelu 2025. godinu.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44.154,55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65.049,13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147,3</w:t>
            </w:r>
          </w:p>
        </w:tc>
      </w:tr>
    </w:tbl>
    <w:p>
      <w:pPr>
        <w:spacing w:before="0" w:after="0"/>
      </w:pPr>
    </w:p>
    <w:p>
      <w:r>
        <w:t xml:space="preserve">Članarine i norme veće su radi porasta broja članova za koje se plaća članarina.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361.826,94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1.014.476,25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280,4</w:t>
            </w:r>
          </w:p>
        </w:tc>
      </w:tr>
    </w:tbl>
    <w:p>
      <w:pPr>
        <w:spacing w:before="0" w:after="0"/>
      </w:pPr>
    </w:p>
    <w:p>
      <w:r>
        <w:t xml:space="preserve">Zatezne kamate su znatno povećane u odnosu na 2024. godinu poradi povećanja obračunatih zateznih kamata od dobavljača za lijekove i potrošni medicinski materijal na zakašnjela plaćanja.</w:t>
      </w:r>
    </w:p>
    <w:p>
      <w:r>
        <w:t xml:space="preserv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37.429.758,63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17.904.508,85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w:t>
            </w:r>
          </w:p>
        </w:tc>
      </w:tr>
    </w:tbl>
    <w:p>
      <w:pPr>
        <w:spacing w:before="0" w:after="0"/>
      </w:pPr>
    </w:p>
    <w:p>
      <w:r>
        <w:t xml:space="preserve">Ostvarili smo višak poslovanja uslijed prihoda dobivenih za sanaciju za podmirenje obveza za dobavljače lijekova i potrošnog medicinskog materijala. I priznatog prihoda prilikom plaćanja obveza za građevinske radove i nabavu medicinske opreme vezano uz obnovu od potresa čiji rashodi su evidentirani u prošloj godini te boljeg obračunatog rada tijekom 2025. godine koji je omogućio i veće prihode od HZZO-a i drugih osiguravajućih kuća.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w:t>
            </w:r>
          </w:p>
        </w:tc>
      </w:tr>
    </w:tbl>
    <w:p>
      <w:pPr>
        <w:spacing w:before="0" w:after="0"/>
      </w:pPr>
    </w:p>
    <w:p>
      <w:r>
        <w:t xml:space="preserve">Tijekom 2025. godine ostvaren je prihod od prodaje rashodovanog  motorna vozila isto kao i u 2024. godini, no sad je ostvaren manji prihod zbog manje vrijednosti prijevoznog sredstva uslijed oštećenja prilikom nesreće.  </w:t>
      </w:r>
    </w:p>
    <w:p>
      <w:r>
        <w:t xml:space="preserve">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23.491.269,92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8.521.779,90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w:t>
            </w:r>
          </w:p>
        </w:tc>
      </w:tr>
    </w:tbl>
    <w:p>
      <w:pPr>
        <w:spacing w:before="0" w:after="0"/>
      </w:pPr>
    </w:p>
    <w:p>
      <w:r>
        <w:t xml:space="preserve">Manji su u odnosu na prošlu godinu zbog manje nabavki u ovoj godini, s obzirom da je prošle godine još trajala obnova od potresa te je nabavljena većina medicinske i nemedicinske opreme. U ovoj godini bilo je većih nabavi isto tako za novoobnovljene prostore, medicinskog i nemedicinskog namještaja i medicinske i ostale opreme, ali u puno manjem obimu.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dodatna ulaganja na nefinancijskoj imovini (šifre 451 do 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25.442.283,08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1.591.137,71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w:t>
            </w:r>
          </w:p>
        </w:tc>
      </w:tr>
    </w:tbl>
    <w:p>
      <w:pPr>
        <w:spacing w:before="0" w:after="0"/>
      </w:pPr>
    </w:p>
    <w:p>
      <w:r>
        <w:t xml:space="preserve">Manji su u odnosu na proteklu godinu, obnova od potresa je krajem 2024. godine privedena kraju te u ovoj godini nije bilo nekih većih građevinskih radova, osim što je započela gradnja mrtvačnice i odvijaju se građevinski radovi na I katu zelene zgrade koji se odnose na uređenje kardiološkog i ORL odjela. Ti radovi se financiraju iz izvora financiranja 11 – Opći prihodi i primici.</w:t>
      </w:r>
    </w:p>
    <w:p>
      <w:r>
        <w:t xml:space="preserv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 preneseni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10.800.457,14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14.653.341,27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Manjak je nastao uslijed metodološkog priznavanja prihoda u kojem se prihod za pokrivanje rashoda za nefinancijsku imovinu priznaje na kontima razreda 6.</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VIŠAK PRIHODA (šifre X067-Y034)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7.732.383,41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Ostvarili smo višak prihoda poslovanja, kao i ukupni višak prihoda, uslijed prihoda dobivenih za sanaciju za podmirenje obveza za dobavljače lijekova i potrošnog medicinskog materijala. I priznatog prihoda prilikom plaćanja obveza za građevinske radove i nabavu medicinske opreme, vezano uz obnovu od potresa čiji rashodi su evidentirani u prošloj godini. Većeg izvršenja rada što je omogućio dodatni prihod od HZZO-a i drugih osiguravajućih kuća.Manjak prihoda od nefinancijske imovine je nastao uslijed metodološkog priznavanja prihoda u kojem se prihod za pokrivanje rashoda za nefinancijsku imovinu priznaje na kontima razreda 6.</w:t>
      </w:r>
    </w:p>
    <w:p>
      <w:r>
        <w:t xml:space="preserve"> </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agencija, studentskog servisa (prijepisi, prijevodi i drugo)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75.038,47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126.330,27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168,4</w:t>
            </w:r>
          </w:p>
        </w:tc>
      </w:tr>
    </w:tbl>
    <w:p>
      <w:pPr>
        <w:spacing w:before="0" w:after="0"/>
      </w:pPr>
    </w:p>
    <w:p>
      <w:r>
        <w:t xml:space="preserve">Povećana je potražnja za ovom vrstom usluge odnosno studentskog posla, tijekom 2025. godine zbog useljenja u novoobnovljene prostore nakon obnove od potresa gdje su studeni obavljali poslove preseljenja.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Stipendije i školarine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Tog rashoda u 2024. godini nije bilo, pa nema usporedivosti, no u 2025. godini financira se stipendija našoj djelatnici koja je poslana na edukaciju van zemlje temeljem sklopljenog ugovora sa Zakladom "Ana Rukavina".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4.660.767,69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6.187.543,08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132,8</w:t>
            </w:r>
          </w:p>
        </w:tc>
      </w:tr>
    </w:tbl>
    <w:p>
      <w:pPr>
        <w:spacing w:before="0" w:after="0"/>
      </w:pPr>
    </w:p>
    <w:p>
      <w:r>
        <w:t xml:space="preserve">Uredska oprema i namještaj kroz 2025. godinu povećana je zbog nabave opreme za odjele koji su nakon završetka obnove od potresa useljeni u obnovljene prostore.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169.373,94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409.055,63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241,5</w:t>
            </w:r>
          </w:p>
        </w:tc>
      </w:tr>
    </w:tbl>
    <w:p>
      <w:pPr>
        <w:spacing w:before="0" w:after="0"/>
      </w:pPr>
    </w:p>
    <w:p>
      <w:r>
        <w:t xml:space="preserve">Komunikacijska oprema je narasla zbog nabave opreme nakon obnove od potresa.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117.925,97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143.220,50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w:t>
            </w:r>
          </w:p>
        </w:tc>
      </w:tr>
    </w:tbl>
    <w:p>
      <w:pPr>
        <w:spacing w:before="0" w:after="0"/>
      </w:pPr>
    </w:p>
    <w:p>
      <w:r>
        <w:t xml:space="preserve">U 2025. godini rashodovano je prijevozno sredstvo koje je još imalo sadašnju vrijednost zbog prometne nesreće te je došlo do povećanja.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Zalihe lijekova i potrošnog medicinskog materijala kod zdravstvenih ustanova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2.636.035,65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2.037.766,60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w:t>
            </w:r>
          </w:p>
        </w:tc>
      </w:tr>
    </w:tbl>
    <w:p>
      <w:pPr>
        <w:spacing w:before="0" w:after="0"/>
      </w:pPr>
    </w:p>
    <w:p>
      <w:r>
        <w:t xml:space="preserve">Manje je stanje zaliha na kraju 2025. godine i to zalihe za lijekove i potrošni medicinski materijal zbog konstantnog praćenja potrošnje zaliha u ljekarni i na klinikama, s ciljem smanjenja  dana držanja zaliha odnosno povećanja obrtaja zaliha obzirom na dostupnost i brzinu isporuke od strane dobavljača.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17.525.333,24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13.055.062,37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74,5</w:t>
            </w:r>
          </w:p>
        </w:tc>
      </w:tr>
    </w:tbl>
    <w:p>
      <w:pPr>
        <w:spacing w:before="0" w:after="0"/>
      </w:pPr>
    </w:p>
    <w:p>
      <w:r>
        <w:t xml:space="preserve">Obveze za materijalne rashode smanjeni su znatno zbog boljeg plaćanja tijekom 2025. godine, uslijed više dobivenih sredstava za bolje i  veće obračunate račune te sanacijama koje su provedene u 2025. godine Odlukama Vlade RH i dodatnim sredstvima od strane HZZO-a za više obračunati rad.</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ostale financijske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287.475,83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464.724,19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161,7</w:t>
            </w:r>
          </w:p>
        </w:tc>
      </w:tr>
    </w:tbl>
    <w:p>
      <w:pPr>
        <w:spacing w:before="0" w:after="0"/>
      </w:pPr>
    </w:p>
    <w:p>
      <w:r>
        <w:t xml:space="preserve">Obveze za financijske rashode znatno su veće u odnosu na prošlu godinu zbog obveze isplata zateznih kamata dobavljačima za lijekove i potrošni medicinski materijal.</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812.363,67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21.994,76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w:t>
            </w:r>
          </w:p>
        </w:tc>
      </w:tr>
    </w:tbl>
    <w:p>
      <w:pPr>
        <w:spacing w:before="0" w:after="0"/>
      </w:pPr>
    </w:p>
    <w:p>
      <w:r>
        <w:t xml:space="preserve">Ostale tekuće obveze manje su iz razloga što je na kraju 2024. godine postojala velika nedospjela obveza za plaćanje PDV-a za račune koji su se odnosili na građevinske radove obnove od potresa te su isti podmireni u siječnju 2025. godine.</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3.244.541,40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656.182,50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w:t>
            </w:r>
          </w:p>
        </w:tc>
      </w:tr>
    </w:tbl>
    <w:p>
      <w:pPr>
        <w:spacing w:before="0" w:after="0"/>
      </w:pPr>
    </w:p>
    <w:p>
      <w:r>
        <w:t xml:space="preserve">Stanje na dan 31.12.2025. godine manje je 5 puta. Obnova od potresa završila je na kraju 2024. godine i zadnje situacije podmirene su u siječnju 2025. godine. Tijekom 2025. godine nabavljena je medicinska i nemedicinska oprema za prostore useljene nakon obnove no ti iznosi nisu bili tako znatni kao sama obnova i I faza nabave opreme te je time stanje na kraju godine smanjeno.</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11.856.960,25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10.275.501,05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w:t>
            </w:r>
          </w:p>
        </w:tc>
      </w:tr>
    </w:tbl>
    <w:p>
      <w:pPr>
        <w:spacing w:before="0" w:after="0"/>
      </w:pPr>
    </w:p>
    <w:p>
      <w:r>
        <w:t xml:space="preserve">Obveze za predujmove su smanjeni na kraju godine zbog činjenice da smo više obračunali računa prema HZZO-u u 2025. godini i smanjili obvezu koji imamo iz prethodnih godina.</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85.416.391,17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97.171.288,44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w:t>
            </w:r>
          </w:p>
        </w:tc>
      </w:tr>
    </w:tbl>
    <w:p>
      <w:pPr>
        <w:spacing w:before="0" w:after="0"/>
      </w:pPr>
    </w:p>
    <w:p>
      <w:r>
        <w:t xml:space="preserve">Vlastiti izvor su povećani zbog većih obračunatih prihoda za koje očekujemo naplatu, no ukupni manjak od prijašnjih godina je smanjen za 20% zbog boljeg poslovanja tijekom 2025. godine.</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13.670.571,81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7.022.194,46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w:t>
            </w:r>
          </w:p>
        </w:tc>
      </w:tr>
    </w:tbl>
    <w:p>
      <w:pPr>
        <w:spacing w:before="0" w:after="0"/>
      </w:pPr>
    </w:p>
    <w:p>
      <w:r>
        <w:t xml:space="preserve">Izvanbilančni zapisi znatno su smanjeni jer su se smanjile potencijalne obveze po osnovi sudskih sporova u tijeku zbog završenih sporova za koje smo isplatili sudske troškove. A povećali su se instrumenti osiguranja plaćanja zbog većeg broja sklopljenih ugovora za nabavu.</w:t>
      </w:r>
    </w:p>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specijalističkih bolnica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145.468.367,58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124.450.313,87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85,6</w:t>
            </w:r>
          </w:p>
        </w:tc>
      </w:tr>
    </w:tbl>
    <w:p>
      <w:pPr>
        <w:spacing w:before="0" w:after="0"/>
      </w:pPr>
    </w:p>
    <w:p>
      <w:r>
        <w:t xml:space="preserve">Klinička bolnica „Merkur“ je javna ustanova koja obavlja zdravstvenu djelatnost prema odredbama Zakona o zdravstvenoj zaštiti (NN 100/18, 125/19, 147/20,119/22, 156/22, 33/23, 36/24, 102/25).</w:t>
      </w:r>
    </w:p>
    <w:p>
      <w:r>
        <w:t xml:space="preserve">Upisana je u sudski registar sa sjedištem u Zagrebu, Ulica Ivana Zajca 19. Osnivač KB „Merkur“ je Republika Hrvatska, a prava i dužnosti osnivača ima Vlada Republike Hrvatske. </w:t>
      </w:r>
    </w:p>
    <w:p>
      <w:r>
        <w:t xml:space="preserve">Svoju djelatnost obavlja u okviru djelatnosti 0732 Usluge specijalističkih bolnica, te je u ovoj godini ostvarila ukupne rashode u iznosu od 124.450.313,87, što je 14,44% manje nego prošle godine pretežno zbog manjih rashoda za kapitalna ulaganja.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8.332.883,87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proizvedene dugotrajne imovine u iznosu od 8.332.883,87 na stavci P003 odnosi se na otpis rashodovane dugotrajne imovine u iznosu od 43.691,79 te na ispravak vrijednosti dugotrajne imovine, koje iznosi 8.289.192,08.</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Smanjene  u iznosu od 136,05 na stavci P029 odnosi se na otpis zastarjelih potraživanja za prihode za pružene usluge, a iste su ušle u zastaru.</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127.120.277,56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iznosi 127.120.277,56, u odnosu na 2024. godinu, povećale su se obveze za materijalne rashode za 14%, dok su se obveze za nabavu nefinancijske imovine znatno smanjile zbog završetka obnove od potresa, a samim time i obveze za PDV (PPO).</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135.824.995,68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u izvještajnom razdoblju iznose 135.824.995,68 eura-najveće povećanje u odnosu na 2024. godinu odnosi se na podmirivanje obveza za materijalne rashode uslijed dobivenih sredstava za sanaciju, kao i dodatnih sredstava dobivenih od HZZO-a zbog boljeg izvršenja na nivou cijele godine.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4.428.349,77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na kraju 2025. godine, u odnosu na protekle godine znatno su smanjenje, odnose se na materijalne rashode odnosno za obveze prema dobavljačima za lijekove i potrošni medicinski materijal te na obveze za kamate prema istim tim dobavljačima. Dani dospjeća smanjeni su na 58 dana.</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24.947.890,46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većinom se odnose na obveze za rashode poslovanja ND23.</w:t>
      </w:r>
    </w:p>
    <w:p>
      <w:r>
        <w:t xml:space="preserve">U ovoj godini zaprimili smo iz izvora financiranja 11 – Opći prihodi i primici,  sredstva u iznosu od 8.281.622 eura za podmirenje obveza prema dobavljačima za nabavu lijekova i potrošnog medicinskog materijala te 1.879.103,00 eura iz izvora financiranja 52 - Ostale pomoći, za podmirenje obveza prema dobavljačima lijekova i potrošnog medicinskog materijala.</w:t>
      </w:r>
    </w:p>
    <w:p>
      <w:r>
        <w:t xml:space="preserve">Dani kašnjenja za većinu obveza smanjili smo na 0 dana, te se uredno podmiruju sukladno dospijeću računa, osim za obveze za zatezne kamate i za obveze za lijekove i potrošni medicinski materijal, za koje na kraju 2025. godine kasnimo 58 dana.</w:t>
      </w:r>
    </w:p>
    <w:p/>
    <w:p>
      <w:pPr>
        <w:jc w:val="center"/>
        <w:pStyle w:val="Normal"/>
        <w:spacing w:line="240" w:lineRule="auto"/>
        <w:keepNext/>
      </w:pPr>
      <w:r>
        <w:rPr>
          <w:sz w:val="28"/>
          <w:rFonts w:ascii="Times New Roman" w:hAnsi="Times New Roman"/>
        </w:rPr>
        <w:t xml:space="preserve">Bilješka 51.</w:t>
      </w:r>
    </w:p>
    <w:p>
      <w:pPr>
        <w:jc w:val="both"/>
        <w:pStyle w:val="Normal"/>
        <w:spacing w:line="240" w:lineRule="auto"/>
      </w:pPr>
      <w:r>
        <w:rPr>
          <w:b/>
          <w:sz w:val="24"/>
          <w:rFonts w:ascii="Times New Roman" w:hAnsi="Times New Roman"/>
        </w:rPr>
        <w:t xml:space="preserve">EU izvještaj</w:t>
      </w:r>
    </w:p>
    <w:p>
      <w:r>
        <w:t xml:space="preserve">Prihodi ostvareni iz izvora financiranja 815 odnose se na priznavanje prihoda za rashode građevinskih radova za obnovu od potresa, radi se o zadnjoj privremenoj situaciji i konačnoj situaciji za radove te plaćanje obveze za PDV po istom koje smo u 2025. godini podmirili.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2aa1a1715c9466a" /></Relationships>
</file>